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577" w:rsidRDefault="00C87DB4">
      <w:r>
        <w:rPr>
          <w:rFonts w:ascii="Helvetica" w:hAnsi="Helvetica" w:cs="Helvetica"/>
          <w:color w:val="404245"/>
          <w:sz w:val="20"/>
          <w:szCs w:val="20"/>
          <w:shd w:val="clear" w:color="auto" w:fill="FFFFFF"/>
        </w:rPr>
        <w:t>Obtain Target Corporation's annual report for its 2018 fiscal year (year ended February 2, 2019) at http://investors.target.com using the instructions in Appendix B, and use it to answer the following questions</w:t>
      </w:r>
      <w:bookmarkStart w:id="0" w:name="_GoBack"/>
      <w:bookmarkEnd w:id="0"/>
    </w:p>
    <w:sectPr w:rsidR="004E25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DB4"/>
    <w:rsid w:val="004E2577"/>
    <w:rsid w:val="00C8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2020-10-02T11:52:00Z</dcterms:created>
  <dcterms:modified xsi:type="dcterms:W3CDTF">2020-10-02T11:53:00Z</dcterms:modified>
</cp:coreProperties>
</file>